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Дерматовенерология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Дерматовенерология | Записей: 1 | Кейс: 1 | Вопросов: 12</w:t>
      </w:r>
    </w:p>
    <w:p>
      <w:r>
        <w:br w:type="page"/>
      </w:r>
    </w:p>
    <w:p>
      <w:pPr>
        <w:pStyle w:val="Heading1"/>
      </w:pPr>
      <w:r>
        <w:t>Дерматовенерология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Дерматовенерология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62 лет обратился на консультацию к врачу-дерматовенерологу.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 туловища.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недель, когда впервые высыпания появились на коже туловища. Высыпания появились через некоторое время после простуды, по поводу которой принимал противовирусные препараты.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и хронические заболевания: ОРВИ. Гипертоническая болезнь. +</w:t>
        <w:br/>
        <w:t>* Не курит, алкоголем не злоупотребляет. +</w:t>
        <w:br/>
        <w:t>* Хирургические вмешательства: аппендэктомия. +</w:t>
        <w:br/>
        <w:t>* Аллергоанамнез: не отягощен. +</w:t>
        <w:br/>
        <w:t>* Наследственность: у матери пузырчатка. +</w:t>
        <w:br/>
        <w:t>* Семейное положение: не женат, периодические случайные половые связи. Последний половой контакт примерно 3 месяца назад.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Поражение кожи носит распространенный характер. Высыпания располагаются на коже туловища, преимущественно на передней поверхности груди, представлены множественными медно-красными папулами округлой формы, имеют четкие очертания, местами сгруппированные. На поверхности некоторых папул отмечаются корочки, а также единичные пузырьки и мелкие эрозии. Субъективные ощущения отсутствуют. +</w:t>
        <w:br/>
        <w:t>Видимые слизистые оболочки нормальной окраски, высыпаний не выявлено. +</w:t>
        <w:br/>
        <w:t>Кожные покровы половых органов нормальной окраски, высыпаний не выявлено. +</w:t>
        <w:br/>
        <w:t>Слизистая оболочка наружного отверстия уретры не измененная, выделения из уретры отсутствуют. Регионарные лимфатические узлы не увеличены, безболезненны, не спаяны с окружающими тканями.</w:t>
      </w:r>
    </w:p>
    <w:p>
      <w:r>
        <w:drawing>
          <wp:inline xmlns:a="http://schemas.openxmlformats.org/drawingml/2006/main" xmlns:pic="http://schemas.openxmlformats.org/drawingml/2006/picture">
            <wp:extent cx="5303520" cy="445050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38c41ace353e3bf8d13f049c6bd87b05e10bfaa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45050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обследования, необходимым для подтверждения диагноза,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общего IgE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исследование крови для выявления IgG-аутоантител методом непрямой иммунофлюоресценции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реакция пассивной гемагглютинации для выявления антител к возбудителю сифилиса (_Treponema pallidum_)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крови для выявления антител к возбудителю ветряной оспы (_Varicella Zoster Virus_) методом ИФА (IgG и IgM)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реакция пассивной гемагглютинации для выявления антител к возбудителю сифилиса (_Treponema pallidum_)</w:t>
      </w:r>
    </w:p>
    <w:p>
      <w:pPr>
        <w:ind w:left="504"/>
      </w:pPr>
      <w:r>
        <w:rPr>
          <w:b w:val="0"/>
          <w:i/>
        </w:rPr>
        <w:t>Рекомендуется использовать комплекс нетрепонемного (РМП, РПР, VDRL и другие аналоги) в количественном варианте постановки и трепонемного (РПГА, ИФА IgM{plus}IgG, ИБ, ИХЛ, ИХГ) тестов для лабораторной диагностики ранних манифестных форм приобретенной сифилитической инфекции.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Анамнестическим данным, позволяющим предположить диагноз,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появление высыпаний через 3 месяца после полового контакта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прием противовирусных лекарственных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связь заболевания с острой респираторной вирусной инфекцией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наследственная предрасположенность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высыпаний через 3 месяца после полового контакта</w:t>
      </w:r>
    </w:p>
    <w:p>
      <w:pPr>
        <w:ind w:left="504"/>
      </w:pPr>
      <w:r>
        <w:rPr>
          <w:b w:val="0"/>
          <w:i/>
        </w:rPr>
        <w:t>Классический вторичный период сифилиса наступает в среднем через 2-3 месяца после инфицирования, обусловлен гематогенной диссеминацией инфекции на фоне развития инфекционного иммунитета и проявляется: высыпаниями на коже и/или слизистых оболочках.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Наиболее информативным клиническим признаком для постановки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папулы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эрозии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пузырьки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папулы</w:t>
      </w:r>
    </w:p>
    <w:p>
      <w:pPr>
        <w:ind w:left="504"/>
      </w:pPr>
      <w:r>
        <w:rPr>
          <w:b w:val="0"/>
          <w:i/>
        </w:rPr>
        <w:t>При вторичном сифилисе везикулезный сифилид состоит из папул, на вершине которых образуется пузырек, его содержимое быстро ссыхается в корочку. Папулы могут группироваться, образуя бляшки медно-красного цвета размером с ноготь мизинца и больше; такой очаг имеет резкие границы, плотноэластическое основание, сгруппированные мелкие пузырьки на поверхности. После разрешения остается пигментированное пятно с мельчайшими рубчиками, которые постепенно сглаживаются. Субъективные ощущения отсутствуют.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Диагнозом, соответствующим данной клинической ситуации,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Ветряная оспа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Токсико-аллергический дерматит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Герпетиформная пузырчатка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Вторичный сифилис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Вторичный сифилис</w:t>
      </w:r>
    </w:p>
    <w:p>
      <w:pPr>
        <w:ind w:left="504"/>
      </w:pPr>
      <w:r>
        <w:rPr>
          <w:b w:val="0"/>
          <w:i/>
        </w:rPr>
        <w:t>При вторичном сифилисе везикулезный сифилид встречается крайне редко. Состоит из папул, на вершине которых образуется пузырек, его содержимое быстро ссыхается в корочку. Папулы могут группироваться, образуя бляшки медно-красного цвета размером с ноготь мизинца и больше; такой очаг имеет резкие границы, плотноэластическое основание, сгруппированные мелкие пузырьки на поверхности. После разрешения остается пигментированное пятно с мельчайшими рубчиками, которые постепенно сглаживаются. Субъективные ощущения отсутствуют.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Позитивные результаты нетрепонемного (РМП, РПР, VDRL и другие аналоги) в количественном варианте постановки и трепонемного (РПГА, ИФА IgM{plus}IgG, ИБ, ИХЛ, ИХГ) тестов при исследовании крови.</w:t>
        <w:br/>
        <w:br/>
      </w:r>
      <w:hyperlink r:id="rId1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(3)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Препаратом выбора для лечения больных вторичным сифилисом в амбулаторных условиях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карбинициллинадинатриевая соль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ампициллина натриевая соль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бензатина бензилпенициллин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оксациллина натриевая соль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бензатина бензилпенициллин</w:t>
      </w:r>
    </w:p>
    <w:p>
      <w:pPr>
        <w:ind w:left="504"/>
      </w:pPr>
      <w:r>
        <w:rPr>
          <w:b w:val="0"/>
          <w:i/>
        </w:rPr>
        <w:t>Для лечения сифилиса рекомендуется применять следующие лекарственные препараты:</w:t>
        <w:br/>
        <w:br/>
        <w:t>* Бензатина бензилпенициллин (дюрантный);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Разовая доза бензатина бензилпенициллин при лечении взрослых больных вторичным сифилисом составляет _____ млн. ЕД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4,8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2,4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Бензатина бензилпенициллин по 2,4 млн. ЕД 1 раз в 5 дней внутримышечно, на курс 6 инъекций.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лечении взрослых больных вторичным сифилисом рекомендуется назначить _____ внутримышечных инъекций бензатина бензилпенициллин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Бензатина бензилпенициллин по 2,4 млн. ЕД 1 раз в 5 дней внутримышечно, на курс 6 инъекций.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Препаратом выбора для лечения больных вторичным сифилисом в стационарных условиях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бензилпенициллина натриевая соль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тобрамицин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амикацин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ванкомицин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бензилпенициллина натриевая соль</w:t>
      </w:r>
    </w:p>
    <w:p>
      <w:pPr>
        <w:ind w:left="504"/>
      </w:pPr>
      <w:r>
        <w:rPr>
          <w:b w:val="0"/>
          <w:i/>
        </w:rPr>
        <w:t>Рекомендуется для лечения больных вторичным сифилисом в стационарных условиях назначение бензилпенициллина натриевой соли кристаллической.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Суточная доза бензилпенициллина натриевой соли при лечении взрослых больных вторичным сифилисом составляет +__+ млн. ЕД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бензилпенициллина натриевая соль кристаллическая 1 млн. ЕД каждые 4 часа (6 раз в сутки) внутримышечно в течение 28 суток.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Продолжительность лечения бензилпенициллина натриевой солью при лечении взрослых больных вторичным сифилисом составляет +__+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28</w:t>
      </w:r>
    </w:p>
    <w:p>
      <w:pPr>
        <w:ind w:left="504"/>
      </w:pPr>
      <w:r>
        <w:rPr>
          <w:b w:val="0"/>
          <w:i/>
        </w:rPr>
        <w:t>Рекомендуется для специфической терапии взрослых больных вторичным сифилисом бензилпенициллина натриевая соль кристаллическая 1 млн. ЕД каждые 4 часа (6 раз в сутки) внутримышечно в течение 28 суток.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Клинико-серологический контроль после окончания специфического лечения в течение первого года наблюдения осуществляют 1 раз в +__+ месяца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Рекомендуется клинико-серологический контроль (КСК) после окончания специфического лечения осуществлять 1 раз в 3 месяца в течение первого года наблюдения и 1 раз в 6 месяцев в последующие годы с постановкой нетрепонемных тестов.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Лицам, находившимся в половом или тесном бытовом контакте с больными ранними формами сифилиса, показано двукратное клинико-серологическое обследование, у которых с момента контакта прошло не более +___+ 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</w:t>
      </w:r>
    </w:p>
    <w:p>
      <w:pPr>
        <w:ind w:left="504"/>
      </w:pPr>
      <w:r>
        <w:rPr>
          <w:b w:val="0"/>
          <w:i/>
        </w:rPr>
        <w:t>Рекомендуется следующее ведение контактных лиц: лицам, находившимся в половом или тесном бытовом контакте с больными ранними формами сифилиса, у которых с момента контакта прошло не более 2 месяцев, показано превентивное лечение. Лицам, у которых с момента контакта с больным ранним сифилисом прошло от 2 до 4 месяцев, проводится двукратное клинико-серологическое обследование с интервалом в 2 месяца; если с момента контакта прошло более 4 месяцев, проводится однократное клинико-серологическое обследование.</w:t>
        <w:br/>
        <w:br/>
      </w:r>
      <w:hyperlink r:id="rId10">
        <w:r>
          <w:rPr>
            <w:color w:val="0F766E"/>
            <w:u w:val="single"/>
          </w:rPr>
          <w:t>Федеральные клинические рекомендации. Дерматовенерология 2015: Болезни кожи. Инфекции, передаваемые половым путем, 2016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Клинические рекомендации Минздрава России. Сифилис, 2024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2335_maket_30/" TargetMode="External"/><Relationship Id="rId11" Type="http://schemas.openxmlformats.org/officeDocument/2006/relationships/hyperlink" Target="https://library.mededtech.ru/rest/documents/2335_maket_30/#paragraph_k8etn9" TargetMode="External"/><Relationship Id="rId12" Type="http://schemas.openxmlformats.org/officeDocument/2006/relationships/hyperlink" Target="https://library.mededtech.ru/rest/documents/KP197_2/" TargetMode="External"/><Relationship Id="rId13" Type="http://schemas.openxmlformats.org/officeDocument/2006/relationships/hyperlink" Target="https://library.mededtech.ru/rest/documents/KP197_2/#list_item_3fv1ld" TargetMode="External"/><Relationship Id="rId14" Type="http://schemas.openxmlformats.org/officeDocument/2006/relationships/hyperlink" Target="https://library.mededtech.ru/rest/documents/KP197_2/#list_item_4dqnkh" TargetMode="External"/><Relationship Id="rId15" Type="http://schemas.openxmlformats.org/officeDocument/2006/relationships/hyperlink" Target="https://library.mededtech.ru/rest/documents/2335_maket_30/#paragraph_5pe313" TargetMode="External"/><Relationship Id="rId16" Type="http://schemas.openxmlformats.org/officeDocument/2006/relationships/hyperlink" Target="https://library.mededtech.ru/rest/documents/KP197_2/#paragraph_2lupsf" TargetMode="External"/><Relationship Id="rId17" Type="http://schemas.openxmlformats.org/officeDocument/2006/relationships/hyperlink" Target="https://library.mededtech.ru/rest/documents/KP197_2/#paragraph_094mrb" TargetMode="External"/><Relationship Id="rId18" Type="http://schemas.openxmlformats.org/officeDocument/2006/relationships/hyperlink" Target="https://library.mededtech.ru/rest/documents/2335_maket_30/#paragraph_g4u6os" TargetMode="External"/><Relationship Id="rId19" Type="http://schemas.openxmlformats.org/officeDocument/2006/relationships/hyperlink" Target="https://library.mededtech.ru/rest/documents/KP197_2/#paragraph_ji8vl5" TargetMode="External"/><Relationship Id="rId20" Type="http://schemas.openxmlformats.org/officeDocument/2006/relationships/hyperlink" Target="https://library.mededtech.ru/rest/documents/KP197_2/#paragraph_k6et4k" TargetMode="External"/><Relationship Id="rId21" Type="http://schemas.openxmlformats.org/officeDocument/2006/relationships/hyperlink" Target="https://library.mededtech.ru/rest/documents/KP197_2/#paragraph_4v72e1" TargetMode="External"/><Relationship Id="rId22" Type="http://schemas.openxmlformats.org/officeDocument/2006/relationships/hyperlink" Target="https://library.mededtech.ru/rest/documents/2335_maket_30/#list_item_pdtvok" TargetMode="External"/><Relationship Id="rId23" Type="http://schemas.openxmlformats.org/officeDocument/2006/relationships/hyperlink" Target="https://library.mededtech.ru/rest/documents/KP197_2/#paragraph_boqngr" TargetMode="External"/><Relationship Id="rId24" Type="http://schemas.openxmlformats.org/officeDocument/2006/relationships/hyperlink" Target="https://library.mededtech.ru/rest/documents/2335_maket_30/#list_item_1l394j" TargetMode="External"/><Relationship Id="rId25" Type="http://schemas.openxmlformats.org/officeDocument/2006/relationships/hyperlink" Target="https://library.mededtech.ru/rest/documents/KP197_2/#list_item_0vks6n" TargetMode="External"/><Relationship Id="rId26" Type="http://schemas.openxmlformats.org/officeDocument/2006/relationships/hyperlink" Target="https://library.mededtech.ru/rest/documents/2335_maket_30/#list_item_6dl34v" TargetMode="External"/><Relationship Id="rId27" Type="http://schemas.openxmlformats.org/officeDocument/2006/relationships/hyperlink" Target="https://library.mededtech.ru/rest/documents/KP197_2/#list_item_9ba6t9" TargetMode="External"/><Relationship Id="rId28" Type="http://schemas.openxmlformats.org/officeDocument/2006/relationships/hyperlink" Target="https://library.mededtech.ru/rest/documents/2335_maket_30/#list_item_3ugsfn" TargetMode="External"/><Relationship Id="rId29" Type="http://schemas.openxmlformats.org/officeDocument/2006/relationships/hyperlink" Target="https://library.mededtech.ru/rest/documents/KP197_2/#paragraph_3add83" TargetMode="External"/><Relationship Id="rId30" Type="http://schemas.openxmlformats.org/officeDocument/2006/relationships/hyperlink" Target="https://library.mededtech.ru/rest/documents/2335_maket_30/#paragraph_i56694" TargetMode="External"/><Relationship Id="rId31" Type="http://schemas.openxmlformats.org/officeDocument/2006/relationships/hyperlink" Target="https://library.mededtech.ru/rest/documents/KP197_2/#list_item_v9fc91" TargetMode="External"/><Relationship Id="rId32" Type="http://schemas.openxmlformats.org/officeDocument/2006/relationships/hyperlink" Target="https://library.mededtech.ru/rest/documents/2335_maket_30/#paragraph_3mrosb" TargetMode="External"/><Relationship Id="rId33" Type="http://schemas.openxmlformats.org/officeDocument/2006/relationships/hyperlink" Target="https://library.mededtech.ru/rest/documents/KP197_2/#list_item_mi1je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